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73" w:rsidRDefault="00145A73" w:rsidP="00145A7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Pr="00EE5D01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é</w:t>
      </w:r>
      <w:r w:rsidRPr="00EE5D01">
        <w:rPr>
          <w:rFonts w:ascii="Arial Narrow" w:hAnsi="Arial Narrow"/>
          <w:sz w:val="28"/>
          <w:szCs w:val="28"/>
        </w:rPr>
        <w:t>cification</w:t>
      </w:r>
      <w:r>
        <w:rPr>
          <w:rFonts w:ascii="Arial Narrow" w:hAnsi="Arial Narrow"/>
          <w:sz w:val="28"/>
          <w:szCs w:val="28"/>
        </w:rPr>
        <w:t xml:space="preserve">  pour </w:t>
      </w:r>
      <w:r w:rsidRPr="00EE5D01">
        <w:rPr>
          <w:rFonts w:ascii="Arial Narrow" w:hAnsi="Arial Narrow"/>
          <w:sz w:val="28"/>
          <w:szCs w:val="28"/>
        </w:rPr>
        <w:t>offres</w:t>
      </w:r>
    </w:p>
    <w:p w:rsidR="00114E67" w:rsidRPr="00F670FD" w:rsidRDefault="00114E67">
      <w:pPr>
        <w:rPr>
          <w:rFonts w:ascii="Arial Narrow" w:hAnsi="Arial Narrow"/>
          <w:sz w:val="21"/>
          <w:szCs w:val="21"/>
        </w:rPr>
      </w:pPr>
    </w:p>
    <w:p w:rsidR="00114E67" w:rsidRPr="00F670FD" w:rsidRDefault="0066343D">
      <w:pPr>
        <w:rPr>
          <w:rFonts w:ascii="Arial Narrow" w:hAnsi="Arial Narrow"/>
          <w:b/>
        </w:rPr>
      </w:pPr>
      <w:r w:rsidRPr="00F670FD">
        <w:rPr>
          <w:rFonts w:ascii="Arial Narrow" w:hAnsi="Arial Narrow"/>
          <w:b/>
        </w:rPr>
        <w:t>Combi-Steamer Salvis Cucina</w:t>
      </w:r>
      <w:r w:rsidRPr="00F670FD">
        <w:rPr>
          <w:rFonts w:ascii="Arial Narrow" w:hAnsi="Arial Narrow"/>
          <w:b/>
          <w:i/>
        </w:rPr>
        <w:t>EVO</w:t>
      </w:r>
      <w:r w:rsidRPr="00F670FD">
        <w:rPr>
          <w:rFonts w:ascii="Arial Narrow" w:hAnsi="Arial Narrow"/>
          <w:b/>
          <w:color w:val="FF0000"/>
        </w:rPr>
        <w:t xml:space="preserve"> </w:t>
      </w:r>
      <w:r w:rsidRPr="00F670FD">
        <w:rPr>
          <w:rFonts w:ascii="Arial Narrow" w:hAnsi="Arial Narrow"/>
          <w:b/>
        </w:rPr>
        <w:t>1011T-Pro</w:t>
      </w:r>
    </w:p>
    <w:p w:rsidR="00340A29" w:rsidRPr="00F670FD" w:rsidRDefault="00340A29" w:rsidP="003D21EB">
      <w:pPr>
        <w:ind w:right="709"/>
        <w:rPr>
          <w:rFonts w:ascii="Arial Narrow" w:hAnsi="Arial Narrow"/>
          <w:sz w:val="21"/>
          <w:szCs w:val="21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F670FD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3C6F" w:rsidRPr="00F670FD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A31C0F" w:rsidRPr="00F670FD" w:rsidRDefault="00A31C0F">
      <w:pPr>
        <w:ind w:right="1557"/>
        <w:rPr>
          <w:rFonts w:ascii="Arial Narrow" w:hAnsi="Arial Narrow"/>
          <w:sz w:val="21"/>
          <w:szCs w:val="21"/>
        </w:rPr>
      </w:pPr>
    </w:p>
    <w:p w:rsidR="00435C8F" w:rsidRPr="00F670FD" w:rsidRDefault="00435C8F">
      <w:pPr>
        <w:ind w:right="1557"/>
        <w:rPr>
          <w:rFonts w:ascii="Arial Narrow" w:hAnsi="Arial Narrow"/>
          <w:sz w:val="21"/>
          <w:szCs w:val="21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F670FD">
              <w:rPr>
                <w:rFonts w:ascii="Arial Narrow" w:hAnsi="Arial Narrow"/>
                <w:b/>
                <w:sz w:val="21"/>
                <w:szCs w:val="21"/>
              </w:rPr>
              <w:t>Version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F670FD">
              <w:rPr>
                <w:rFonts w:ascii="Arial Narrow" w:hAnsi="Arial Narrow"/>
                <w:b/>
                <w:sz w:val="21"/>
                <w:szCs w:val="21"/>
              </w:rPr>
              <w:t>Prévue :</w:t>
            </w:r>
          </w:p>
        </w:tc>
        <w:tc>
          <w:tcPr>
            <w:tcW w:w="3827" w:type="dxa"/>
          </w:tcPr>
          <w:p w:rsidR="003B023B" w:rsidRPr="00F670FD" w:rsidRDefault="003B023B" w:rsidP="00C5412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F670FD">
              <w:rPr>
                <w:rFonts w:ascii="Arial Narrow" w:hAnsi="Arial Narrow"/>
                <w:b/>
                <w:sz w:val="21"/>
                <w:szCs w:val="21"/>
              </w:rPr>
              <w:t>Proposée :</w:t>
            </w: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F670FD" w:rsidRDefault="003B023B" w:rsidP="00C5412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F670FD" w:rsidRDefault="003B023B" w:rsidP="00C5412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Type d'appareil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appareil de table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Capacité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Distance d'insertion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Dimensions (L x P x H) :</w:t>
            </w:r>
          </w:p>
        </w:tc>
        <w:tc>
          <w:tcPr>
            <w:tcW w:w="2552" w:type="dxa"/>
          </w:tcPr>
          <w:p w:rsidR="003B023B" w:rsidRPr="00F670FD" w:rsidRDefault="003B023B" w:rsidP="00C67EF8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550 x 809 x 10</w:t>
            </w:r>
            <w:r w:rsidR="00C67EF8">
              <w:rPr>
                <w:rFonts w:ascii="Arial Narrow" w:hAnsi="Arial Narrow"/>
                <w:sz w:val="21"/>
                <w:szCs w:val="21"/>
              </w:rPr>
              <w:t>18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Poids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120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Valeur de raccordement électrique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11,0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Tension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Protection par fusibles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Alimentation en eau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Sortie d’eau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 xml:space="preserve">40 mm </w:t>
            </w:r>
            <w:r w:rsidRPr="00F670FD">
              <w:rPr>
                <w:rFonts w:ascii="Arial Narrow" w:hAnsi="Arial Narrow"/>
                <w:sz w:val="21"/>
                <w:szCs w:val="21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3B023B" w:rsidRPr="00F670FD" w:rsidRDefault="00F670FD" w:rsidP="00C54126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 w:rsidR="003B023B" w:rsidRPr="00F670FD">
              <w:rPr>
                <w:rFonts w:ascii="Arial Narrow" w:hAnsi="Arial Narrow"/>
                <w:sz w:val="21"/>
                <w:szCs w:val="21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Marque de contrôle et de sécurité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Type de protection de l'appareil 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B023B" w:rsidRPr="00F670FD" w:rsidTr="00C54126">
        <w:tc>
          <w:tcPr>
            <w:tcW w:w="675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Type de construction :</w:t>
            </w:r>
          </w:p>
        </w:tc>
        <w:tc>
          <w:tcPr>
            <w:tcW w:w="2552" w:type="dxa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F670FD" w:rsidRDefault="003B023B" w:rsidP="00C5412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CE52AB" w:rsidRPr="00F670FD" w:rsidRDefault="00CE52AB">
      <w:pPr>
        <w:ind w:right="1557"/>
        <w:rPr>
          <w:rFonts w:ascii="Arial Narrow" w:hAnsi="Arial Narrow"/>
          <w:sz w:val="21"/>
          <w:szCs w:val="21"/>
        </w:rPr>
      </w:pPr>
    </w:p>
    <w:p w:rsidR="00435C8F" w:rsidRPr="00F670FD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1"/>
          <w:szCs w:val="21"/>
          <w:u w:val="single"/>
        </w:rPr>
      </w:pPr>
    </w:p>
    <w:p w:rsidR="00435C8F" w:rsidRPr="00F670FD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1"/>
          <w:szCs w:val="21"/>
          <w:u w:val="single"/>
        </w:rPr>
      </w:pPr>
      <w:r w:rsidRPr="00F670FD">
        <w:rPr>
          <w:rFonts w:ascii="Arial Narrow" w:hAnsi="Arial Narrow"/>
          <w:b/>
          <w:sz w:val="21"/>
          <w:szCs w:val="21"/>
          <w:u w:val="single"/>
        </w:rPr>
        <w:t>Spécifications</w:t>
      </w:r>
    </w:p>
    <w:p w:rsidR="00435C8F" w:rsidRPr="00F670FD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Triple vitrage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1"/>
                <w:szCs w:val="21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Système de nettoyage à 4 vitesses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Système de nettoyage au choix</w:t>
            </w:r>
          </w:p>
          <w:p w:rsidR="00435C8F" w:rsidRPr="00F670FD" w:rsidRDefault="00435C8F" w:rsidP="007803C5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Wingdings" w:hAnsi="Wingdings"/>
                <w:sz w:val="21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Poudre</w:t>
            </w:r>
            <w:r w:rsidRPr="00F670FD">
              <w:rPr>
                <w:rFonts w:ascii="Arial Narrow" w:hAnsi="Arial Narrow"/>
                <w:sz w:val="21"/>
                <w:szCs w:val="21"/>
              </w:rPr>
              <w:tab/>
            </w:r>
            <w:r w:rsidRPr="00F670FD">
              <w:rPr>
                <w:rFonts w:ascii="Wingdings" w:hAnsi="Wingdings"/>
                <w:sz w:val="21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Liquide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A0321D" w:rsidP="00F670FD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Insertion longitudinale GN 1/1, GN</w:t>
            </w:r>
            <w:r w:rsidR="00F670FD">
              <w:rPr>
                <w:rFonts w:ascii="Arial Narrow" w:hAnsi="Arial Narrow"/>
                <w:sz w:val="21"/>
                <w:szCs w:val="21"/>
              </w:rPr>
              <w:t> </w:t>
            </w:r>
            <w:r w:rsidRPr="00F670FD">
              <w:rPr>
                <w:rFonts w:ascii="Arial Narrow" w:hAnsi="Arial Narrow"/>
                <w:sz w:val="21"/>
                <w:szCs w:val="21"/>
              </w:rPr>
              <w:t>1/2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CD42F0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 xml:space="preserve">Écran tactile 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Certificat énergétique selon ENAK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Manuel de cuisine intégré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84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Bandeau de porte</w:t>
            </w:r>
          </w:p>
        </w:tc>
        <w:tc>
          <w:tcPr>
            <w:tcW w:w="1273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2"/>
              </w:rPr>
              <w:t></w:t>
            </w:r>
            <w:r w:rsidRPr="00F670FD">
              <w:rPr>
                <w:rFonts w:ascii="Wingdings" w:hAnsi="Wingdings"/>
                <w:sz w:val="21"/>
                <w:szCs w:val="21"/>
              </w:rPr>
              <w:t></w:t>
            </w:r>
            <w:r w:rsidRPr="00F670FD">
              <w:rPr>
                <w:rFonts w:ascii="Arial Narrow" w:hAnsi="Arial Narrow"/>
                <w:sz w:val="21"/>
                <w:szCs w:val="21"/>
              </w:rPr>
              <w:t>Droite</w:t>
            </w:r>
          </w:p>
        </w:tc>
        <w:tc>
          <w:tcPr>
            <w:tcW w:w="1270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F670FD">
              <w:rPr>
                <w:rFonts w:ascii="Wingdings" w:hAnsi="Wingdings"/>
                <w:sz w:val="22"/>
                <w:szCs w:val="21"/>
              </w:rPr>
              <w:t></w:t>
            </w:r>
            <w:r w:rsidRPr="00F670FD">
              <w:rPr>
                <w:rFonts w:ascii="Arial Narrow" w:hAnsi="Arial Narrow"/>
                <w:sz w:val="21"/>
                <w:szCs w:val="21"/>
              </w:rPr>
              <w:t xml:space="preserve">  Gauche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435C8F" w:rsidRPr="00F670FD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435C8F" w:rsidRPr="00F670FD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435C8F" w:rsidRPr="00F670FD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435C8F" w:rsidRPr="00F670FD" w:rsidTr="00262602">
        <w:trPr>
          <w:trHeight w:val="277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435C8F" w:rsidRPr="00F670FD" w:rsidRDefault="00435C8F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Total intermédiaire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295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Fabricant 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35C8F" w:rsidRPr="00F670FD" w:rsidTr="00262602">
        <w:trPr>
          <w:trHeight w:val="327"/>
        </w:trPr>
        <w:tc>
          <w:tcPr>
            <w:tcW w:w="675" w:type="dxa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F670FD">
              <w:rPr>
                <w:rFonts w:ascii="Arial Narrow" w:hAnsi="Arial Narrow"/>
                <w:sz w:val="21"/>
                <w:szCs w:val="21"/>
              </w:rPr>
              <w:t>Modèle 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F670FD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435C8F" w:rsidRPr="00F670FD" w:rsidRDefault="00435C8F" w:rsidP="00435C8F">
      <w:pPr>
        <w:rPr>
          <w:rFonts w:ascii="Arial Narrow" w:hAnsi="Arial Narrow" w:cs="Arial"/>
          <w:b/>
          <w:sz w:val="21"/>
          <w:szCs w:val="21"/>
          <w:u w:val="single"/>
        </w:rPr>
      </w:pPr>
      <w:r w:rsidRPr="00F670FD"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435C8F" w:rsidRPr="00F670FD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435C8F" w:rsidRPr="00F670FD" w:rsidRDefault="00435C8F" w:rsidP="00262602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435C8F" w:rsidRPr="00F670FD" w:rsidRDefault="00435C8F" w:rsidP="00435C8F">
      <w:pPr>
        <w:rPr>
          <w:rFonts w:ascii="Arial Narrow" w:hAnsi="Arial Narrow" w:cs="Arial"/>
          <w:b/>
          <w:sz w:val="21"/>
          <w:szCs w:val="21"/>
          <w:u w:val="single"/>
        </w:rPr>
      </w:pPr>
    </w:p>
    <w:p w:rsidR="00435C8F" w:rsidRPr="00F670FD" w:rsidRDefault="00435C8F" w:rsidP="00435C8F">
      <w:pPr>
        <w:rPr>
          <w:rFonts w:ascii="Arial Narrow" w:hAnsi="Arial Narrow" w:cs="Arial"/>
          <w:b/>
          <w:sz w:val="21"/>
          <w:szCs w:val="21"/>
          <w:u w:val="single"/>
        </w:rPr>
      </w:pPr>
    </w:p>
    <w:p w:rsidR="0084565C" w:rsidRPr="00F670FD" w:rsidRDefault="009156D4" w:rsidP="00435C8F">
      <w:pPr>
        <w:rPr>
          <w:rFonts w:ascii="Arial Narrow" w:hAnsi="Arial Narrow" w:cs="Arial"/>
          <w:b/>
          <w:sz w:val="21"/>
          <w:szCs w:val="21"/>
          <w:u w:val="single"/>
        </w:rPr>
      </w:pPr>
      <w:r w:rsidRPr="00F670FD"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9156D4" w:rsidRPr="00F670FD" w:rsidRDefault="009156D4" w:rsidP="003D21EB">
      <w:pPr>
        <w:ind w:right="709"/>
        <w:rPr>
          <w:rFonts w:ascii="Arial Narrow" w:hAnsi="Arial Narrow" w:cs="Arial"/>
          <w:sz w:val="21"/>
          <w:szCs w:val="21"/>
        </w:rPr>
      </w:pP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Écran couleur tactile TFT haute résolution</w:t>
      </w:r>
      <w:r>
        <w:rPr>
          <w:rFonts w:ascii="Arial Narrow" w:hAnsi="Arial Narrow" w:cs="Arial"/>
          <w:sz w:val="21"/>
          <w:szCs w:val="21"/>
          <w:lang w:val="fr-CH"/>
        </w:rPr>
        <w:t xml:space="preserve"> intégré de manière affleurante dans le panneau de verre hygiénique.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Interface utilisateur simple et compréhensible</w:t>
      </w:r>
      <w:r>
        <w:rPr>
          <w:rFonts w:ascii="Arial Narrow" w:hAnsi="Arial Narrow" w:cs="Arial"/>
          <w:sz w:val="21"/>
          <w:szCs w:val="21"/>
          <w:lang w:val="fr-CH"/>
        </w:rPr>
        <w:t xml:space="preserve"> - utiliser et afficher dans un seul élément.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Température, humidité, durée ou température à cœur peuvent être librement modifiées via le défilement ou le clavier numérique.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Entrée de la température précise au degré</w:t>
      </w:r>
      <w:r>
        <w:rPr>
          <w:rFonts w:ascii="Arial Narrow" w:hAnsi="Arial Narrow" w:cs="Arial"/>
          <w:sz w:val="21"/>
          <w:szCs w:val="21"/>
          <w:lang w:val="fr-CH"/>
        </w:rPr>
        <w:t xml:space="preserve"> près de 30 °C à 250 °C, humidité réglable de 0 à 100 %.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Climat actif - chaleur sèche et humide librement combinables avec humidification et déshumidification actives pour un</w:t>
      </w:r>
    </w:p>
    <w:p w:rsidR="00C67EF8" w:rsidRDefault="00C67EF8" w:rsidP="00C67EF8">
      <w:pPr>
        <w:pStyle w:val="Listenabsatz"/>
        <w:tabs>
          <w:tab w:val="left" w:pos="284"/>
        </w:tabs>
        <w:ind w:left="284"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climat de cuisson optimal.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Régulation de l'humidité</w:t>
      </w:r>
      <w:r>
        <w:rPr>
          <w:rFonts w:ascii="Arial Narrow" w:hAnsi="Arial Narrow" w:cs="Arial"/>
          <w:sz w:val="21"/>
          <w:szCs w:val="21"/>
          <w:lang w:val="fr-CH"/>
        </w:rPr>
        <w:t xml:space="preserve"> propre en 5 niveaux dans le climat à air chaud.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Programmes spéciaux NT-Cuisson, Cuisson douce, Cuisson et maintien au chaud – </w:t>
      </w:r>
    </w:p>
    <w:p w:rsidR="00C67EF8" w:rsidRDefault="00C67EF8" w:rsidP="00C67EF8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pour la cuisson longue de 30 °C à 120 °C. 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∆-T Cuisson</w:t>
      </w:r>
      <w:r>
        <w:rPr>
          <w:rFonts w:ascii="Arial Narrow" w:hAnsi="Arial Narrow" w:cs="Arial"/>
          <w:sz w:val="21"/>
          <w:szCs w:val="21"/>
          <w:lang w:val="fr-CH"/>
        </w:rPr>
        <w:t xml:space="preserve"> - Cuisson régulée en fonction de la température à cœur et des temps d'insertion pour la surveillance des lots.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Cuisson combinée</w:t>
      </w:r>
      <w:r>
        <w:rPr>
          <w:rFonts w:ascii="Arial Narrow" w:hAnsi="Arial Narrow" w:cs="Arial"/>
          <w:sz w:val="21"/>
          <w:szCs w:val="21"/>
          <w:lang w:val="fr-CH"/>
        </w:rPr>
        <w:t xml:space="preserve"> comme fonction de programme étendue pour l'utilisation de la capacité de la chambre de cuisson.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Mode Boulangerie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entrée de la quantité d'eau en ml et temps d'arrêt de la roue du ventilateur, ainsi que fonction de</w:t>
      </w:r>
    </w:p>
    <w:p w:rsidR="00C67EF8" w:rsidRDefault="00C67EF8" w:rsidP="00C67EF8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cuisson supplémentaire jusqu'à 5 minutes.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Avec la </w:t>
      </w:r>
      <w:r>
        <w:rPr>
          <w:rFonts w:ascii="Arial Narrow" w:hAnsi="Arial Narrow" w:cs="Arial"/>
          <w:b/>
          <w:sz w:val="21"/>
          <w:szCs w:val="21"/>
          <w:lang w:val="fr-CH"/>
        </w:rPr>
        <w:t>fonction CombiStep</w:t>
      </w:r>
      <w:r>
        <w:rPr>
          <w:rFonts w:ascii="Arial Narrow" w:hAnsi="Arial Narrow" w:cs="Arial"/>
          <w:sz w:val="21"/>
          <w:szCs w:val="21"/>
          <w:lang w:val="fr-CH"/>
        </w:rPr>
        <w:t>, jusqu'à 20 étapes de cuisson différentes peuvent être combinées librement et affichées de</w:t>
      </w:r>
    </w:p>
    <w:p w:rsidR="00C67EF8" w:rsidRDefault="00C67EF8" w:rsidP="00C67EF8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manière claire dans l'aperçu des étapes de cuisson.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Fonction de mémoire étendue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l'entrée de programmes de cuisson propres et individuels selon des listes de</w:t>
      </w:r>
    </w:p>
    <w:p w:rsidR="00C67EF8" w:rsidRDefault="00C67EF8" w:rsidP="00C67EF8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EcoMode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des processus de cuisson optimisés en énergie comme la cuisson longue et le braisage.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5 vitesses de ventilateur</w:t>
      </w:r>
      <w:r>
        <w:rPr>
          <w:rFonts w:ascii="Arial Narrow" w:hAnsi="Arial Narrow" w:cs="Arial"/>
          <w:sz w:val="21"/>
          <w:szCs w:val="21"/>
          <w:lang w:val="fr-CH"/>
        </w:rPr>
        <w:t xml:space="preserve"> plus fonction de pulsation pour des résultats de cuisson et de pâtisserie parfaits et uniformes.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Roue de ventilateur avec fonctionnement en inversion</w:t>
      </w:r>
      <w:r>
        <w:rPr>
          <w:rFonts w:ascii="Arial Narrow" w:hAnsi="Arial Narrow" w:cs="Arial"/>
          <w:sz w:val="21"/>
          <w:szCs w:val="21"/>
          <w:lang w:val="fr-CH"/>
        </w:rPr>
        <w:t xml:space="preserve"> automatique pour une haute efficacité </w:t>
      </w:r>
    </w:p>
    <w:p w:rsidR="00C67EF8" w:rsidRDefault="00C67EF8" w:rsidP="00C67EF8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et pulsation pour une cuisson douce.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Temp-Activ</w:t>
      </w:r>
      <w:r>
        <w:rPr>
          <w:rFonts w:ascii="Arial Narrow" w:hAnsi="Arial Narrow" w:cs="Arial"/>
          <w:sz w:val="21"/>
          <w:szCs w:val="21"/>
          <w:lang w:val="fr-CH"/>
        </w:rPr>
        <w:t xml:space="preserve"> - préchauffage automatique et maintien à la température préréglée.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Cool-down</w:t>
      </w:r>
      <w:r>
        <w:rPr>
          <w:rFonts w:ascii="Arial Narrow" w:hAnsi="Arial Narrow" w:cs="Arial"/>
          <w:sz w:val="21"/>
          <w:szCs w:val="21"/>
          <w:lang w:val="fr-CH"/>
        </w:rPr>
        <w:t>, contrôlée par moteur avec porte ouverte, pour une adaptation climatique efficace.</w:t>
      </w:r>
    </w:p>
    <w:p w:rsidR="00C67EF8" w:rsidRPr="00C67EF8" w:rsidRDefault="00C67EF8" w:rsidP="00F95D9A">
      <w:pPr>
        <w:pStyle w:val="Listenabsatz"/>
        <w:numPr>
          <w:ilvl w:val="0"/>
          <w:numId w:val="3"/>
        </w:numPr>
        <w:tabs>
          <w:tab w:val="left" w:pos="284"/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  <w:r w:rsidRPr="00C67EF8">
        <w:rPr>
          <w:rFonts w:ascii="Arial Narrow" w:hAnsi="Arial Narrow" w:cs="Arial"/>
          <w:sz w:val="21"/>
          <w:szCs w:val="21"/>
          <w:lang w:val="fr-CH"/>
        </w:rPr>
        <w:t>Préréglage de l'heure de démarrage et fonction E/2 (fonction d'économie d'énergie).</w:t>
      </w:r>
    </w:p>
    <w:p w:rsidR="00435C8F" w:rsidRPr="00C67EF8" w:rsidRDefault="00C67EF8" w:rsidP="00F95D9A">
      <w:pPr>
        <w:pStyle w:val="Listenabsatz"/>
        <w:numPr>
          <w:ilvl w:val="0"/>
          <w:numId w:val="3"/>
        </w:numPr>
        <w:tabs>
          <w:tab w:val="left" w:pos="284"/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  <w:r w:rsidRPr="00C67EF8">
        <w:rPr>
          <w:rFonts w:ascii="Arial Narrow" w:hAnsi="Arial Narrow" w:cs="Arial"/>
          <w:b/>
          <w:sz w:val="21"/>
          <w:szCs w:val="21"/>
          <w:lang w:val="fr-CH"/>
        </w:rPr>
        <w:t>Ajustement automatique des quantités - AQA</w:t>
      </w:r>
      <w:r w:rsidRPr="00C67EF8">
        <w:rPr>
          <w:rFonts w:ascii="Arial Narrow" w:hAnsi="Arial Narrow" w:cs="Arial"/>
          <w:sz w:val="21"/>
          <w:szCs w:val="21"/>
          <w:lang w:val="fr-CH"/>
        </w:rPr>
        <w:t>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Aspiration de vapeur de sécurité de la chambre de cuisson SDA</w:t>
      </w:r>
      <w:r>
        <w:rPr>
          <w:rFonts w:ascii="Arial Narrow" w:hAnsi="Arial Narrow" w:cs="Arial"/>
          <w:sz w:val="21"/>
          <w:szCs w:val="21"/>
          <w:lang w:val="fr-CH"/>
        </w:rPr>
        <w:t xml:space="preserve"> Humidification manuelle - pour l'ajout individuel</w:t>
      </w:r>
    </w:p>
    <w:p w:rsidR="00C67EF8" w:rsidRDefault="00C67EF8" w:rsidP="00C67EF8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d'humidité, par exemple lors de la cuisson.</w:t>
      </w:r>
    </w:p>
    <w:p w:rsidR="00C67EF8" w:rsidRDefault="00C67EF8" w:rsidP="00C67EF8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Réglage du temps de 1 minute à 24 heures</w:t>
      </w:r>
      <w:r>
        <w:rPr>
          <w:rFonts w:ascii="Arial Narrow" w:hAnsi="Arial Narrow" w:cs="Arial"/>
          <w:sz w:val="21"/>
          <w:szCs w:val="21"/>
          <w:lang w:val="fr-CH"/>
        </w:rPr>
        <w:t>, fonctionnement continu et préréglage de l'heure de démarrage jusqu'à 24</w:t>
      </w:r>
    </w:p>
    <w:p w:rsidR="00C67EF8" w:rsidRDefault="00C67EF8" w:rsidP="00C67EF8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284"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heures en temps réel. Démarrage à partir de n'importe quelle phase, pour des processus de cuisson à phases multiples, plus de confort d'utilisation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Régulation de la température à cœur avec sonde multipoint</w:t>
      </w:r>
      <w:r>
        <w:rPr>
          <w:rFonts w:ascii="Arial Narrow" w:hAnsi="Arial Narrow" w:cs="Arial"/>
          <w:sz w:val="21"/>
          <w:szCs w:val="21"/>
          <w:lang w:val="fr-CH"/>
        </w:rPr>
        <w:t xml:space="preserve"> - pour une mesure précise de la température à cœur de 0° 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99 °C, régulation des processus de cuisson et notification en cas d'erreur de sonde.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lang w:val="fr-CH"/>
        </w:rPr>
      </w:pPr>
      <w:r>
        <w:rPr>
          <w:rFonts w:ascii="Arial Narrow" w:hAnsi="Arial Narrow"/>
          <w:b/>
          <w:sz w:val="21"/>
          <w:szCs w:val="21"/>
          <w:lang w:val="fr-CH"/>
        </w:rPr>
        <w:t>Échange</w:t>
      </w:r>
      <w:r>
        <w:rPr>
          <w:rFonts w:ascii="Arial Narrow" w:hAnsi="Arial Narrow" w:cs="Arial"/>
          <w:b/>
          <w:sz w:val="21"/>
          <w:szCs w:val="21"/>
          <w:lang w:val="fr-CH"/>
        </w:rPr>
        <w:t xml:space="preserve"> de données via interface USB.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Enregistrement des données HACCP</w:t>
      </w:r>
      <w:r>
        <w:rPr>
          <w:rFonts w:ascii="Arial Narrow" w:hAnsi="Arial Narrow" w:cs="Arial"/>
          <w:sz w:val="21"/>
          <w:szCs w:val="21"/>
          <w:lang w:val="fr-CH"/>
        </w:rPr>
        <w:t xml:space="preserve"> - enregistrement automatique des données HACCP / LMHV des 300 derniers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processus.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d'autodiagnostic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indications de fonctionnement, d'erreur et d'avertissement.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Fenêtre pop-up de service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la vérification en direct des paramètres techniques actuels.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Les paramètres de cuisson standard</w:t>
      </w:r>
      <w:r>
        <w:rPr>
          <w:rFonts w:ascii="Arial Narrow" w:hAnsi="Arial Narrow" w:cs="Arial"/>
          <w:sz w:val="21"/>
          <w:szCs w:val="21"/>
          <w:lang w:val="fr-CH"/>
        </w:rPr>
        <w:t xml:space="preserve"> peuvent être ajustés en fonction du type d'exploitation et du comportement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d'utilisation.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 xml:space="preserve">Fonction de mémoire </w:t>
      </w:r>
      <w:r>
        <w:rPr>
          <w:rFonts w:ascii="Arial Narrow" w:hAnsi="Arial Narrow" w:cs="Arial"/>
          <w:sz w:val="21"/>
          <w:szCs w:val="21"/>
          <w:lang w:val="fr-CH"/>
        </w:rPr>
        <w:t>étendue pour l'entrée de programmes de cuisson propres et individuels selon des listes de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Fonction de recherche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une recherche simple des programmes de cuisson enregistrés.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Mode économie d'énergie</w:t>
      </w:r>
      <w:r>
        <w:rPr>
          <w:rFonts w:ascii="Arial Narrow" w:hAnsi="Arial Narrow" w:cs="Arial"/>
          <w:sz w:val="21"/>
          <w:szCs w:val="21"/>
          <w:lang w:val="fr-CH"/>
        </w:rPr>
        <w:t>, lumière éteinte après 15 minutes sans entrée.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Filtre à eau</w:t>
      </w:r>
      <w:r>
        <w:rPr>
          <w:rFonts w:ascii="Arial Narrow" w:hAnsi="Arial Narrow" w:cs="Arial"/>
          <w:sz w:val="21"/>
          <w:szCs w:val="21"/>
          <w:lang w:val="fr-CH"/>
        </w:rPr>
        <w:t xml:space="preserve"> - compteur de temps - indication de changement pour une conservation durable de la valeur.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Processus de nettoyage</w:t>
      </w:r>
      <w:r>
        <w:rPr>
          <w:rFonts w:ascii="Arial Narrow" w:hAnsi="Arial Narrow" w:cs="Arial"/>
          <w:sz w:val="21"/>
          <w:szCs w:val="21"/>
          <w:lang w:val="fr-CH"/>
        </w:rPr>
        <w:t xml:space="preserve"> manuel assisté par le système - pour garantir les exigences d'hygiène.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Vitalisation avec paramètres</w:t>
      </w:r>
      <w:r>
        <w:rPr>
          <w:rFonts w:ascii="Arial Narrow" w:hAnsi="Arial Narrow" w:cs="Arial"/>
          <w:sz w:val="21"/>
          <w:szCs w:val="21"/>
          <w:lang w:val="fr-CH"/>
        </w:rPr>
        <w:t xml:space="preserve"> prédéfinis pour portions individuelles, récipients GN et système de banquet.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Bouton marche/arrêt avec indication</w:t>
      </w:r>
      <w:r>
        <w:rPr>
          <w:rFonts w:ascii="Arial Narrow" w:hAnsi="Arial Narrow" w:cs="Arial"/>
          <w:sz w:val="21"/>
          <w:szCs w:val="21"/>
          <w:lang w:val="fr-CH"/>
        </w:rPr>
        <w:t xml:space="preserve"> de fonction pour le fonctionnement en cours (rouge), état de repos (vert) et phase de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maintien (bleu).</w:t>
      </w:r>
    </w:p>
    <w:p w:rsidR="00C67EF8" w:rsidRP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Mémoire - répétition</w:t>
      </w:r>
      <w:r>
        <w:rPr>
          <w:rFonts w:ascii="Arial Narrow" w:hAnsi="Arial Narrow" w:cs="Arial"/>
          <w:sz w:val="21"/>
          <w:szCs w:val="21"/>
          <w:lang w:val="fr-CH"/>
        </w:rPr>
        <w:t xml:space="preserve"> du dernier programme saisi sans nouvelle entrée.</w:t>
      </w:r>
    </w:p>
    <w:p w:rsidR="00A31C0F" w:rsidRPr="00F670FD" w:rsidRDefault="00A31C0F" w:rsidP="003D21EB">
      <w:pPr>
        <w:ind w:right="709"/>
        <w:rPr>
          <w:rFonts w:ascii="Arial Narrow" w:hAnsi="Arial Narrow" w:cs="Arial"/>
          <w:sz w:val="21"/>
          <w:szCs w:val="21"/>
        </w:rPr>
      </w:pPr>
      <w:r w:rsidRPr="00F670FD"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F670FD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F670FD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5E66F9" w:rsidRPr="00F670FD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D13C6F" w:rsidRPr="00F670FD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1"/>
          <w:szCs w:val="21"/>
          <w:lang w:val="de-DE"/>
        </w:rPr>
      </w:pPr>
    </w:p>
    <w:p w:rsidR="00425C8D" w:rsidRPr="00F670FD" w:rsidRDefault="00425C8D" w:rsidP="00C67EF8">
      <w:pPr>
        <w:tabs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</w:p>
    <w:p w:rsidR="00C67EF8" w:rsidRDefault="00C67EF8" w:rsidP="00C67EF8">
      <w:p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Exécution</w:t>
      </w:r>
    </w:p>
    <w:p w:rsidR="00C67EF8" w:rsidRDefault="00C67EF8" w:rsidP="00C67EF8">
      <w:p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 xml:space="preserve">Chambre de cuisson hygiénique </w:t>
      </w:r>
      <w:r>
        <w:rPr>
          <w:rFonts w:ascii="Arial Narrow" w:hAnsi="Arial Narrow" w:cs="Arial"/>
          <w:sz w:val="21"/>
          <w:szCs w:val="21"/>
          <w:lang w:val="fr-CH"/>
        </w:rPr>
        <w:t>avec coins arrondis en haut et en bas - soudée sans joint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sur tous les côtés et avec drain central et tamis de drainage.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d'insertion flexible 4 en 1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insertion longitudinale GN 2/1 et insertion transversale GN 1/1, insertion </w:t>
      </w:r>
    </w:p>
    <w:p w:rsidR="00C67EF8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longitudinale GN 1/1 ainsi que norme de cuisson.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1819A2">
        <w:rPr>
          <w:rFonts w:ascii="Arial Narrow" w:hAnsi="Arial Narrow" w:cs="Arial"/>
          <w:sz w:val="21"/>
          <w:szCs w:val="21"/>
          <w:lang w:val="fr-CH"/>
        </w:rPr>
        <w:t xml:space="preserve"> intégré à contre-courant réduit les coûts énergétiques jusqu'à 30 % et la consommation d'eau pour</w:t>
      </w:r>
    </w:p>
    <w:p w:rsidR="00C67EF8" w:rsidRPr="001819A2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sz w:val="21"/>
          <w:szCs w:val="21"/>
          <w:lang w:val="fr-CH"/>
        </w:rPr>
        <w:t>le</w:t>
      </w:r>
      <w:r>
        <w:rPr>
          <w:rFonts w:ascii="Arial Narrow" w:hAnsi="Arial Narrow" w:cs="Arial"/>
          <w:sz w:val="21"/>
          <w:szCs w:val="21"/>
          <w:lang w:val="fr-CH"/>
        </w:rPr>
        <w:t xml:space="preserve"> </w:t>
      </w:r>
      <w:r w:rsidRPr="001819A2">
        <w:rPr>
          <w:rFonts w:ascii="Arial Narrow" w:hAnsi="Arial Narrow" w:cs="Arial"/>
          <w:sz w:val="21"/>
          <w:szCs w:val="21"/>
          <w:lang w:val="fr-CH"/>
        </w:rPr>
        <w:t>dégagement de vapeur jusqu'à 80 %.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Steam-Eco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la génération directe de vapeur selon les besoins dans la chambre de cuisson.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 xml:space="preserve">Boîtier intérieur </w:t>
      </w:r>
      <w:r>
        <w:rPr>
          <w:rFonts w:ascii="Arial Narrow" w:hAnsi="Arial Narrow" w:cs="Arial"/>
          <w:sz w:val="21"/>
          <w:szCs w:val="21"/>
          <w:lang w:val="fr-CH"/>
        </w:rPr>
        <w:t>et extérieur en acier inoxydable CrNi 18/10 - matériau n° 1.4301.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Porte panoramique avec position d'arrêt</w:t>
      </w:r>
      <w:r>
        <w:rPr>
          <w:rFonts w:ascii="Arial Narrow" w:hAnsi="Arial Narrow" w:cs="Arial"/>
          <w:sz w:val="21"/>
          <w:szCs w:val="21"/>
          <w:lang w:val="fr-CH"/>
        </w:rPr>
        <w:t>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Vitrage de porte triple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réflexion infrarouge pour une radiation thermique minimale.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Joint de porte</w:t>
      </w:r>
      <w:r>
        <w:rPr>
          <w:rFonts w:ascii="Arial Narrow" w:hAnsi="Arial Narrow" w:cs="Arial"/>
          <w:sz w:val="21"/>
          <w:szCs w:val="21"/>
          <w:lang w:val="fr-CH"/>
        </w:rPr>
        <w:t xml:space="preserve"> amovible et facilement emboîtable.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left="284" w:right="566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Gouttière de collecte des condensats intégrée</w:t>
      </w:r>
      <w:r>
        <w:rPr>
          <w:rFonts w:ascii="Arial Narrow" w:hAnsi="Arial Narrow" w:cs="Arial"/>
          <w:sz w:val="21"/>
          <w:szCs w:val="21"/>
          <w:lang w:val="fr-CH"/>
        </w:rPr>
        <w:t xml:space="preserve"> au boîtier avec évacuation plus gouttière de collecte des condensats de porte séparée.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Dégagement de vapeur</w:t>
      </w:r>
      <w:r>
        <w:rPr>
          <w:rFonts w:ascii="Arial Narrow" w:hAnsi="Arial Narrow" w:cs="Arial"/>
          <w:sz w:val="21"/>
          <w:szCs w:val="21"/>
          <w:lang w:val="fr-CH"/>
        </w:rPr>
        <w:t xml:space="preserve"> contrôlé par thermostat.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Fermeture rapide de la porte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une utilisation à une main.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b/>
          <w:sz w:val="21"/>
          <w:szCs w:val="21"/>
          <w:lang w:val="fr-CH"/>
        </w:rPr>
        <w:t>Arrêt du ventilateur</w:t>
      </w:r>
      <w:r w:rsidRPr="001819A2">
        <w:rPr>
          <w:rFonts w:ascii="Arial Narrow" w:hAnsi="Arial Narrow" w:cs="Arial"/>
          <w:sz w:val="21"/>
          <w:szCs w:val="21"/>
          <w:lang w:val="fr-CH"/>
        </w:rPr>
        <w:t xml:space="preserve"> à l'ouverture de la porte via un interrupteur magnétique sans contact pour</w:t>
      </w:r>
      <w:r>
        <w:rPr>
          <w:rFonts w:ascii="Arial Narrow" w:hAnsi="Arial Narrow" w:cs="Arial"/>
          <w:sz w:val="21"/>
          <w:szCs w:val="21"/>
          <w:lang w:val="fr-CH"/>
        </w:rPr>
        <w:t xml:space="preserve"> l'optimisation de l'énergie et</w:t>
      </w:r>
    </w:p>
    <w:p w:rsidR="00C67EF8" w:rsidRPr="001819A2" w:rsidRDefault="00C67EF8" w:rsidP="00C67EF8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sz w:val="21"/>
          <w:szCs w:val="21"/>
          <w:lang w:val="fr-CH"/>
        </w:rPr>
        <w:t>la sécurité de fonctionnement.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Douchette intégrée rétractable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retour automatique et arrêt de l'eau.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Support de suspension</w:t>
      </w:r>
      <w:r>
        <w:rPr>
          <w:rFonts w:ascii="Arial Narrow" w:hAnsi="Arial Narrow" w:cs="Arial"/>
          <w:sz w:val="21"/>
          <w:szCs w:val="21"/>
          <w:lang w:val="fr-CH"/>
        </w:rPr>
        <w:t xml:space="preserve"> en acier inoxydable pour l'utilisation flexible de récipients GN/grilles.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Éclairage intérieur halogène</w:t>
      </w:r>
      <w:r>
        <w:rPr>
          <w:rFonts w:ascii="Arial Narrow" w:hAnsi="Arial Narrow" w:cs="Arial"/>
          <w:sz w:val="21"/>
          <w:szCs w:val="21"/>
          <w:lang w:val="fr-CH"/>
        </w:rPr>
        <w:t xml:space="preserve"> - contrôle visuel précis.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Deux connexions séparées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l'eau froide et l'eau adoucie - sécurisées selon SVGW.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>
        <w:rPr>
          <w:rFonts w:ascii="Arial Narrow" w:hAnsi="Arial Narrow" w:cs="Arial"/>
          <w:sz w:val="21"/>
          <w:szCs w:val="21"/>
          <w:lang w:val="fr-CH"/>
        </w:rPr>
        <w:t xml:space="preserve"> selon le principe du contre-courant. L'air chaud réchauffe le flux d'eau.</w:t>
      </w:r>
    </w:p>
    <w:p w:rsidR="00C67EF8" w:rsidRDefault="00C67EF8" w:rsidP="00C67EF8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  <w:tab w:val="left" w:pos="8789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1"/>
          <w:szCs w:val="21"/>
          <w:lang w:val="fr-CH"/>
        </w:rPr>
      </w:pPr>
      <w:r w:rsidRPr="00C67EF8">
        <w:rPr>
          <w:rFonts w:ascii="Arial Narrow" w:hAnsi="Arial Narrow" w:cs="Arial"/>
          <w:b/>
          <w:sz w:val="21"/>
          <w:szCs w:val="21"/>
          <w:lang w:val="fr-CH"/>
        </w:rPr>
        <w:t>Eco-Autoclean</w:t>
      </w:r>
      <w:r w:rsidRPr="00C67EF8">
        <w:rPr>
          <w:rFonts w:ascii="Arial Narrow" w:hAnsi="Arial Narrow" w:cs="Arial"/>
          <w:sz w:val="21"/>
          <w:szCs w:val="21"/>
          <w:lang w:val="fr-CH"/>
        </w:rPr>
        <w:t xml:space="preserve"> - Système de nettoyage automatique en poudre, sans contact avec une bouteille de dosage à </w:t>
      </w:r>
      <w:bookmarkStart w:id="0" w:name="_GoBack"/>
      <w:bookmarkEnd w:id="0"/>
      <w:r w:rsidRPr="00C67EF8">
        <w:rPr>
          <w:rFonts w:ascii="Arial Narrow" w:hAnsi="Arial Narrow" w:cs="Arial"/>
          <w:sz w:val="21"/>
          <w:szCs w:val="21"/>
          <w:lang w:val="fr-CH"/>
        </w:rPr>
        <w:t>verser.</w:t>
      </w:r>
    </w:p>
    <w:p w:rsidR="000A7A93" w:rsidRPr="00C67EF8" w:rsidRDefault="00C67EF8" w:rsidP="00C67EF8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1"/>
          <w:szCs w:val="21"/>
          <w:u w:val="single"/>
        </w:rPr>
      </w:pPr>
      <w:r w:rsidRPr="00C67EF8">
        <w:rPr>
          <w:rFonts w:ascii="Arial Narrow" w:hAnsi="Arial Narrow" w:cs="Arial"/>
          <w:b/>
          <w:sz w:val="21"/>
          <w:szCs w:val="21"/>
          <w:lang w:val="fr-CH"/>
        </w:rPr>
        <w:t>Interface Ethernet</w:t>
      </w:r>
      <w:r w:rsidRPr="00C67EF8">
        <w:rPr>
          <w:rFonts w:ascii="Arial Narrow" w:hAnsi="Arial Narrow" w:cs="Arial"/>
          <w:sz w:val="21"/>
          <w:szCs w:val="21"/>
          <w:lang w:val="fr-CH"/>
        </w:rPr>
        <w:t>.</w:t>
      </w:r>
    </w:p>
    <w:p w:rsidR="00C67EF8" w:rsidRPr="00C67EF8" w:rsidRDefault="00C67EF8" w:rsidP="00C67EF8">
      <w:pPr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1"/>
          <w:szCs w:val="21"/>
          <w:u w:val="single"/>
        </w:rPr>
      </w:pPr>
    </w:p>
    <w:p w:rsidR="00C67EF8" w:rsidRDefault="00C67EF8" w:rsidP="00C67EF8">
      <w:pPr>
        <w:tabs>
          <w:tab w:val="left" w:pos="284"/>
        </w:tabs>
        <w:ind w:right="1275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Équipements optionnels et accessoires système</w:t>
      </w:r>
    </w:p>
    <w:p w:rsidR="00C67EF8" w:rsidRDefault="00C67EF8" w:rsidP="00C67EF8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Eco-Autoclean - Système de nettoyage automatique avec nettoyant liquide.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Filtre à graisse.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Châssis de support GN et support de plateau.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Tensions spéciales.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Exécution navale.</w:t>
      </w:r>
    </w:p>
    <w:p w:rsidR="00C67EF8" w:rsidRDefault="00C67EF8" w:rsidP="00C67EF8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Hotte de condensation avec filtres à graisse amovibles et lavables au lave-vaisselle.</w:t>
      </w:r>
    </w:p>
    <w:p w:rsidR="00C67EF8" w:rsidRDefault="00C67EF8" w:rsidP="00C67EF8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C67EF8" w:rsidRDefault="00C67EF8" w:rsidP="00C67EF8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C67EF8" w:rsidRDefault="00C67EF8" w:rsidP="00C67EF8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Modifications techniques sous réserve !</w:t>
      </w:r>
    </w:p>
    <w:p w:rsidR="00275835" w:rsidRPr="00C67EF8" w:rsidRDefault="00C67EF8" w:rsidP="00C67EF8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Fabricant : Salvis AG, Nordstrasse 15, 4665 Oftringen, Suisse</w:t>
      </w:r>
    </w:p>
    <w:sectPr w:rsidR="00275835" w:rsidRPr="00C67EF8" w:rsidSect="00C67EF8">
      <w:footerReference w:type="default" r:id="rId8"/>
      <w:pgSz w:w="11906" w:h="16838"/>
      <w:pgMar w:top="851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8E" w:rsidRDefault="0045098E">
      <w:r>
        <w:separator/>
      </w:r>
    </w:p>
  </w:endnote>
  <w:endnote w:type="continuationSeparator" w:id="0">
    <w:p w:rsidR="0045098E" w:rsidRDefault="0045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C67EF8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C67EF8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5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67EF8">
      <w:rPr>
        <w:rFonts w:ascii="Arial Narrow" w:hAnsi="Arial Narrow"/>
        <w:sz w:val="18"/>
        <w:szCs w:val="22"/>
      </w:rPr>
      <w:t xml:space="preserve">Version </w:t>
    </w:r>
    <w:r w:rsidR="00C67EF8" w:rsidRPr="00C67EF8">
      <w:rPr>
        <w:rFonts w:ascii="Arial Narrow" w:hAnsi="Arial Narrow"/>
        <w:sz w:val="18"/>
        <w:szCs w:val="22"/>
      </w:rPr>
      <w:t>05/2024</w:t>
    </w:r>
    <w:r w:rsidRPr="00C67EF8">
      <w:rPr>
        <w:rFonts w:ascii="Arial Narrow" w:hAnsi="Arial Narrow"/>
        <w:sz w:val="18"/>
        <w:szCs w:val="22"/>
      </w:rPr>
      <w:tab/>
    </w:r>
    <w:r w:rsidR="00EC64D4" w:rsidRPr="00C67EF8">
      <w:rPr>
        <w:rStyle w:val="Seitenzahl"/>
        <w:rFonts w:ascii="Arial Narrow" w:hAnsi="Arial Narrow"/>
        <w:sz w:val="18"/>
        <w:szCs w:val="22"/>
      </w:rPr>
      <w:fldChar w:fldCharType="begin"/>
    </w:r>
    <w:r w:rsidRPr="00C67EF8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EC64D4" w:rsidRPr="00C67EF8">
      <w:rPr>
        <w:rStyle w:val="Seitenzahl"/>
        <w:rFonts w:ascii="Arial Narrow" w:hAnsi="Arial Narrow"/>
        <w:sz w:val="18"/>
        <w:szCs w:val="22"/>
      </w:rPr>
      <w:fldChar w:fldCharType="separate"/>
    </w:r>
    <w:r w:rsidR="00C67EF8">
      <w:rPr>
        <w:rStyle w:val="Seitenzahl"/>
        <w:rFonts w:ascii="Arial Narrow" w:hAnsi="Arial Narrow"/>
        <w:noProof/>
        <w:sz w:val="18"/>
        <w:szCs w:val="22"/>
      </w:rPr>
      <w:t>1</w:t>
    </w:r>
    <w:r w:rsidR="00EC64D4" w:rsidRPr="00C67EF8">
      <w:rPr>
        <w:rStyle w:val="Seitenzahl"/>
        <w:rFonts w:ascii="Arial Narrow" w:hAnsi="Arial Narrow"/>
        <w:sz w:val="18"/>
        <w:szCs w:val="22"/>
      </w:rPr>
      <w:fldChar w:fldCharType="end"/>
    </w:r>
    <w:r w:rsidRPr="00C67EF8">
      <w:rPr>
        <w:rStyle w:val="Seitenzahl"/>
        <w:rFonts w:ascii="Arial Narrow" w:hAnsi="Arial Narrow"/>
        <w:sz w:val="18"/>
        <w:szCs w:val="22"/>
      </w:rPr>
      <w:t>/</w:t>
    </w:r>
    <w:r w:rsidR="00EC64D4" w:rsidRPr="00C67EF8">
      <w:rPr>
        <w:rStyle w:val="Seitenzahl"/>
        <w:rFonts w:ascii="Arial Narrow" w:hAnsi="Arial Narrow"/>
        <w:sz w:val="18"/>
        <w:szCs w:val="22"/>
      </w:rPr>
      <w:fldChar w:fldCharType="begin"/>
    </w:r>
    <w:r w:rsidRPr="00C67EF8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EC64D4" w:rsidRPr="00C67EF8">
      <w:rPr>
        <w:rStyle w:val="Seitenzahl"/>
        <w:rFonts w:ascii="Arial Narrow" w:hAnsi="Arial Narrow"/>
        <w:sz w:val="18"/>
        <w:szCs w:val="22"/>
      </w:rPr>
      <w:fldChar w:fldCharType="separate"/>
    </w:r>
    <w:r w:rsidR="00C67EF8">
      <w:rPr>
        <w:rStyle w:val="Seitenzahl"/>
        <w:rFonts w:ascii="Arial Narrow" w:hAnsi="Arial Narrow"/>
        <w:noProof/>
        <w:sz w:val="18"/>
        <w:szCs w:val="22"/>
      </w:rPr>
      <w:t>3</w:t>
    </w:r>
    <w:r w:rsidR="00EC64D4" w:rsidRPr="00C67EF8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8E" w:rsidRDefault="0045098E">
      <w:r>
        <w:separator/>
      </w:r>
    </w:p>
  </w:footnote>
  <w:footnote w:type="continuationSeparator" w:id="0">
    <w:p w:rsidR="0045098E" w:rsidRDefault="0045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9C8423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90269"/>
    <w:rsid w:val="000A7A93"/>
    <w:rsid w:val="000B2ABA"/>
    <w:rsid w:val="000C55BB"/>
    <w:rsid w:val="000E4807"/>
    <w:rsid w:val="000F123F"/>
    <w:rsid w:val="00114E67"/>
    <w:rsid w:val="00125C8D"/>
    <w:rsid w:val="00134FE4"/>
    <w:rsid w:val="00145A73"/>
    <w:rsid w:val="001A136B"/>
    <w:rsid w:val="001B37E8"/>
    <w:rsid w:val="001B4AAE"/>
    <w:rsid w:val="001C5573"/>
    <w:rsid w:val="001E2CBD"/>
    <w:rsid w:val="001F3153"/>
    <w:rsid w:val="002062BD"/>
    <w:rsid w:val="0023457D"/>
    <w:rsid w:val="00235848"/>
    <w:rsid w:val="00243746"/>
    <w:rsid w:val="00245526"/>
    <w:rsid w:val="00256266"/>
    <w:rsid w:val="00275835"/>
    <w:rsid w:val="00277CC2"/>
    <w:rsid w:val="00293978"/>
    <w:rsid w:val="002A4E1B"/>
    <w:rsid w:val="002D0EE8"/>
    <w:rsid w:val="002D7E33"/>
    <w:rsid w:val="00322E42"/>
    <w:rsid w:val="003257AC"/>
    <w:rsid w:val="0033096B"/>
    <w:rsid w:val="00337E1D"/>
    <w:rsid w:val="00340A29"/>
    <w:rsid w:val="00347561"/>
    <w:rsid w:val="003506A2"/>
    <w:rsid w:val="00372A4C"/>
    <w:rsid w:val="003A523F"/>
    <w:rsid w:val="003A5854"/>
    <w:rsid w:val="003B023B"/>
    <w:rsid w:val="003D0B62"/>
    <w:rsid w:val="003D0FDD"/>
    <w:rsid w:val="003D1EF9"/>
    <w:rsid w:val="003D21EB"/>
    <w:rsid w:val="00422D6E"/>
    <w:rsid w:val="00425C8D"/>
    <w:rsid w:val="00435C8F"/>
    <w:rsid w:val="004374A0"/>
    <w:rsid w:val="0045098E"/>
    <w:rsid w:val="00461340"/>
    <w:rsid w:val="004637B4"/>
    <w:rsid w:val="0046523E"/>
    <w:rsid w:val="00465811"/>
    <w:rsid w:val="00474F6C"/>
    <w:rsid w:val="00486CFA"/>
    <w:rsid w:val="00496FBF"/>
    <w:rsid w:val="004A18F2"/>
    <w:rsid w:val="004B37F1"/>
    <w:rsid w:val="004D561D"/>
    <w:rsid w:val="004F4A94"/>
    <w:rsid w:val="004F4DF7"/>
    <w:rsid w:val="005256D1"/>
    <w:rsid w:val="00531C0C"/>
    <w:rsid w:val="00536106"/>
    <w:rsid w:val="0054328C"/>
    <w:rsid w:val="00544F4C"/>
    <w:rsid w:val="00551E19"/>
    <w:rsid w:val="00552493"/>
    <w:rsid w:val="005561B0"/>
    <w:rsid w:val="005C6DA0"/>
    <w:rsid w:val="005D29CD"/>
    <w:rsid w:val="005E249D"/>
    <w:rsid w:val="005E66F9"/>
    <w:rsid w:val="005F5CAF"/>
    <w:rsid w:val="006071C3"/>
    <w:rsid w:val="0061732B"/>
    <w:rsid w:val="0066343D"/>
    <w:rsid w:val="006717EB"/>
    <w:rsid w:val="0067777F"/>
    <w:rsid w:val="006A3567"/>
    <w:rsid w:val="006A4943"/>
    <w:rsid w:val="006D0796"/>
    <w:rsid w:val="006D2290"/>
    <w:rsid w:val="006E3ECF"/>
    <w:rsid w:val="006F5FBF"/>
    <w:rsid w:val="0074002B"/>
    <w:rsid w:val="00776538"/>
    <w:rsid w:val="007803C5"/>
    <w:rsid w:val="007B545C"/>
    <w:rsid w:val="007E6E83"/>
    <w:rsid w:val="007F170C"/>
    <w:rsid w:val="00810B16"/>
    <w:rsid w:val="008177F6"/>
    <w:rsid w:val="00825F78"/>
    <w:rsid w:val="0084565C"/>
    <w:rsid w:val="008718FF"/>
    <w:rsid w:val="00875304"/>
    <w:rsid w:val="00883766"/>
    <w:rsid w:val="008A0062"/>
    <w:rsid w:val="008B3E60"/>
    <w:rsid w:val="008C41A3"/>
    <w:rsid w:val="008D25F5"/>
    <w:rsid w:val="008D2A43"/>
    <w:rsid w:val="008D48C9"/>
    <w:rsid w:val="008E1661"/>
    <w:rsid w:val="00906824"/>
    <w:rsid w:val="00911C7F"/>
    <w:rsid w:val="009156D4"/>
    <w:rsid w:val="00942B33"/>
    <w:rsid w:val="009466F3"/>
    <w:rsid w:val="00955F14"/>
    <w:rsid w:val="00984711"/>
    <w:rsid w:val="00990ABC"/>
    <w:rsid w:val="0099734B"/>
    <w:rsid w:val="009E56BB"/>
    <w:rsid w:val="00A010B0"/>
    <w:rsid w:val="00A0321D"/>
    <w:rsid w:val="00A31C0F"/>
    <w:rsid w:val="00A95C92"/>
    <w:rsid w:val="00AA4B70"/>
    <w:rsid w:val="00AB5309"/>
    <w:rsid w:val="00AB696F"/>
    <w:rsid w:val="00AD6178"/>
    <w:rsid w:val="00AD73C5"/>
    <w:rsid w:val="00B031A6"/>
    <w:rsid w:val="00B1523F"/>
    <w:rsid w:val="00B173D4"/>
    <w:rsid w:val="00B32D1D"/>
    <w:rsid w:val="00B340BB"/>
    <w:rsid w:val="00B357FB"/>
    <w:rsid w:val="00B47742"/>
    <w:rsid w:val="00B63FF9"/>
    <w:rsid w:val="00B75B3F"/>
    <w:rsid w:val="00B81DD7"/>
    <w:rsid w:val="00B846D3"/>
    <w:rsid w:val="00B858A9"/>
    <w:rsid w:val="00B926FB"/>
    <w:rsid w:val="00B9457C"/>
    <w:rsid w:val="00BA079F"/>
    <w:rsid w:val="00BC5D84"/>
    <w:rsid w:val="00BD3CD1"/>
    <w:rsid w:val="00BE265B"/>
    <w:rsid w:val="00BE7A44"/>
    <w:rsid w:val="00C2196E"/>
    <w:rsid w:val="00C67EF8"/>
    <w:rsid w:val="00C72EF2"/>
    <w:rsid w:val="00C83F03"/>
    <w:rsid w:val="00CA2128"/>
    <w:rsid w:val="00CA7CA5"/>
    <w:rsid w:val="00CB30A6"/>
    <w:rsid w:val="00CC66BD"/>
    <w:rsid w:val="00CD42F0"/>
    <w:rsid w:val="00CE2DE8"/>
    <w:rsid w:val="00CE52AB"/>
    <w:rsid w:val="00CF64E7"/>
    <w:rsid w:val="00D13C6F"/>
    <w:rsid w:val="00D21854"/>
    <w:rsid w:val="00D27455"/>
    <w:rsid w:val="00D77CF8"/>
    <w:rsid w:val="00D836CA"/>
    <w:rsid w:val="00D8419E"/>
    <w:rsid w:val="00DC15DB"/>
    <w:rsid w:val="00DC3266"/>
    <w:rsid w:val="00DE533C"/>
    <w:rsid w:val="00DF2E0F"/>
    <w:rsid w:val="00E068FD"/>
    <w:rsid w:val="00E201B4"/>
    <w:rsid w:val="00E52DBF"/>
    <w:rsid w:val="00E80551"/>
    <w:rsid w:val="00EA533F"/>
    <w:rsid w:val="00EB1FC8"/>
    <w:rsid w:val="00EC1141"/>
    <w:rsid w:val="00EC64D4"/>
    <w:rsid w:val="00ED39ED"/>
    <w:rsid w:val="00ED3B7E"/>
    <w:rsid w:val="00ED5051"/>
    <w:rsid w:val="00EE249A"/>
    <w:rsid w:val="00F07C35"/>
    <w:rsid w:val="00F20366"/>
    <w:rsid w:val="00F21F3D"/>
    <w:rsid w:val="00F326D1"/>
    <w:rsid w:val="00F61507"/>
    <w:rsid w:val="00F670FD"/>
    <w:rsid w:val="00F745FE"/>
    <w:rsid w:val="00F777CD"/>
    <w:rsid w:val="00F844A6"/>
    <w:rsid w:val="00FA7A4A"/>
    <w:rsid w:val="00FD4649"/>
    <w:rsid w:val="00FE1305"/>
    <w:rsid w:val="00FF3F71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4FE5ADB1-CCC9-4FE8-AA4E-DA85A088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C424A-0DEA-4D47-9626-05474B90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19</cp:revision>
  <cp:lastPrinted>2017-04-05T08:52:00Z</cp:lastPrinted>
  <dcterms:created xsi:type="dcterms:W3CDTF">2017-04-04T15:05:00Z</dcterms:created>
  <dcterms:modified xsi:type="dcterms:W3CDTF">2024-05-29T15:14:00Z</dcterms:modified>
</cp:coreProperties>
</file>